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6A2" w:rsidRDefault="00F936A2" w:rsidP="00F936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6A2">
        <w:rPr>
          <w:rFonts w:ascii="Times New Roman" w:hAnsi="Times New Roman" w:cs="Times New Roman"/>
          <w:b/>
          <w:sz w:val="28"/>
          <w:szCs w:val="28"/>
        </w:rPr>
        <w:t>Основные новеллы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36A2" w:rsidRPr="00F936A2" w:rsidRDefault="00F936A2" w:rsidP="00F936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6A2">
        <w:rPr>
          <w:rFonts w:ascii="Times New Roman" w:hAnsi="Times New Roman" w:cs="Times New Roman"/>
          <w:b/>
          <w:sz w:val="28"/>
          <w:szCs w:val="28"/>
        </w:rPr>
        <w:t>в Методических рекомендациях по вопросам представления сведений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936A2"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b/>
          <w:sz w:val="28"/>
          <w:szCs w:val="28"/>
        </w:rPr>
        <w:t>и заполнения соответств</w:t>
      </w:r>
      <w:r>
        <w:rPr>
          <w:rFonts w:ascii="Times New Roman" w:hAnsi="Times New Roman" w:cs="Times New Roman"/>
          <w:b/>
          <w:sz w:val="28"/>
          <w:szCs w:val="28"/>
        </w:rPr>
        <w:t xml:space="preserve">ующей формы справки в 2026 году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936A2">
        <w:rPr>
          <w:rFonts w:ascii="Times New Roman" w:hAnsi="Times New Roman" w:cs="Times New Roman"/>
          <w:b/>
          <w:sz w:val="28"/>
          <w:szCs w:val="28"/>
        </w:rPr>
        <w:t>(за отчетный 2025 год)</w:t>
      </w:r>
    </w:p>
    <w:p w:rsidR="00C512F7" w:rsidRDefault="00F936A2" w:rsidP="00F936A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6A2">
        <w:rPr>
          <w:rFonts w:ascii="Times New Roman" w:hAnsi="Times New Roman" w:cs="Times New Roman"/>
          <w:sz w:val="28"/>
          <w:szCs w:val="28"/>
        </w:rPr>
        <w:t>Министерством труда и социальной защиты Российской Федерации ежегодно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обновляются Методические рекомендации по вопросам представления 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 (далее соответственно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Методические рекомендации, сведения о доходах).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2F7" w:rsidRDefault="00F936A2" w:rsidP="00F936A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6A2">
        <w:rPr>
          <w:rFonts w:ascii="Times New Roman" w:hAnsi="Times New Roman" w:cs="Times New Roman"/>
          <w:sz w:val="28"/>
          <w:szCs w:val="28"/>
        </w:rPr>
        <w:t>Методические рекомендации для применения в ходе декларационной кампании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2026 года (за отчетный 2025 год) подготовлены Министерством при участии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Администрации Президента Российской Федерации, Аппарата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Российской Федерации, Центрального банка Российской Федерации, Генеральной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прокуратуры Российской Федерации и иных заинтересованных федеральных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государственных органов.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6A2" w:rsidRDefault="00F936A2" w:rsidP="00F936A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6A2">
        <w:rPr>
          <w:rFonts w:ascii="Times New Roman" w:hAnsi="Times New Roman" w:cs="Times New Roman"/>
          <w:sz w:val="28"/>
          <w:szCs w:val="28"/>
        </w:rPr>
        <w:t>Основными новеллами указанных Методических рекомендаций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следующие.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936A2" w:rsidRPr="00F936A2" w:rsidRDefault="00F936A2" w:rsidP="00F936A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6A2">
        <w:rPr>
          <w:rFonts w:ascii="Times New Roman" w:hAnsi="Times New Roman" w:cs="Times New Roman"/>
          <w:sz w:val="28"/>
          <w:szCs w:val="28"/>
        </w:rPr>
        <w:t>1. В формате .docx внедрена система навигаци</w:t>
      </w:r>
      <w:r>
        <w:rPr>
          <w:rFonts w:ascii="Times New Roman" w:hAnsi="Times New Roman" w:cs="Times New Roman"/>
          <w:sz w:val="28"/>
          <w:szCs w:val="28"/>
        </w:rPr>
        <w:t xml:space="preserve">и по документу, а также созданы </w:t>
      </w:r>
      <w:r w:rsidRPr="00F936A2">
        <w:rPr>
          <w:rFonts w:ascii="Times New Roman" w:hAnsi="Times New Roman" w:cs="Times New Roman"/>
          <w:sz w:val="28"/>
          <w:szCs w:val="28"/>
        </w:rPr>
        <w:t>гиперссылки.</w:t>
      </w:r>
    </w:p>
    <w:p w:rsidR="00F936A2" w:rsidRPr="00F936A2" w:rsidRDefault="00F936A2" w:rsidP="00F936A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6A2">
        <w:rPr>
          <w:rFonts w:ascii="Times New Roman" w:hAnsi="Times New Roman" w:cs="Times New Roman"/>
          <w:sz w:val="28"/>
          <w:szCs w:val="28"/>
        </w:rPr>
        <w:t>2. Отражен порядок направления вопро</w:t>
      </w:r>
      <w:r>
        <w:rPr>
          <w:rFonts w:ascii="Times New Roman" w:hAnsi="Times New Roman" w:cs="Times New Roman"/>
          <w:sz w:val="28"/>
          <w:szCs w:val="28"/>
        </w:rPr>
        <w:t xml:space="preserve">сов, связанных с использованием </w:t>
      </w:r>
      <w:r w:rsidRPr="00F936A2">
        <w:rPr>
          <w:rFonts w:ascii="Times New Roman" w:hAnsi="Times New Roman" w:cs="Times New Roman"/>
          <w:sz w:val="28"/>
          <w:szCs w:val="28"/>
        </w:rPr>
        <w:t>специал</w:t>
      </w:r>
      <w:r>
        <w:rPr>
          <w:rFonts w:ascii="Times New Roman" w:hAnsi="Times New Roman" w:cs="Times New Roman"/>
          <w:sz w:val="28"/>
          <w:szCs w:val="28"/>
        </w:rPr>
        <w:t>ьного программного обеспечения «</w:t>
      </w:r>
      <w:r w:rsidRPr="00F936A2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 xml:space="preserve">равки БК», на адрес электронной почты: </w:t>
      </w:r>
      <w:hyperlink r:id="rId4" w:history="1">
        <w:r w:rsidR="008C2C66" w:rsidRPr="00704A5B">
          <w:rPr>
            <w:rStyle w:val="a3"/>
            <w:rFonts w:ascii="Times New Roman" w:hAnsi="Times New Roman" w:cs="Times New Roman"/>
            <w:sz w:val="28"/>
            <w:szCs w:val="28"/>
          </w:rPr>
          <w:t>spravki_bk@mintrud.gov.ru</w:t>
        </w:r>
      </w:hyperlink>
      <w:r w:rsidRPr="00F936A2">
        <w:rPr>
          <w:rFonts w:ascii="Times New Roman" w:hAnsi="Times New Roman" w:cs="Times New Roman"/>
          <w:sz w:val="28"/>
          <w:szCs w:val="28"/>
        </w:rPr>
        <w:t>.</w:t>
      </w:r>
    </w:p>
    <w:p w:rsidR="00F936A2" w:rsidRDefault="00F936A2" w:rsidP="00F936A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6A2">
        <w:rPr>
          <w:rFonts w:ascii="Times New Roman" w:hAnsi="Times New Roman" w:cs="Times New Roman"/>
          <w:sz w:val="28"/>
          <w:szCs w:val="28"/>
        </w:rPr>
        <w:t>3. Учтены положения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28 декабря 2025 г. № 505-ФЗ «</w:t>
      </w:r>
      <w:r w:rsidRPr="00F936A2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льные акты Российской Федерации» </w:t>
      </w:r>
      <w:r w:rsidRPr="00F936A2">
        <w:rPr>
          <w:rFonts w:ascii="Times New Roman" w:hAnsi="Times New Roman" w:cs="Times New Roman"/>
          <w:sz w:val="28"/>
          <w:szCs w:val="28"/>
        </w:rPr>
        <w:t>и Указа Президента Российской Федерации от 31 декабря 2025 г. № 1009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936A2">
        <w:rPr>
          <w:rFonts w:ascii="Times New Roman" w:hAnsi="Times New Roman" w:cs="Times New Roman"/>
          <w:sz w:val="28"/>
          <w:szCs w:val="28"/>
        </w:rPr>
        <w:t>Об изменении и признании утратившими силу некоторых актов Президента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936A2">
        <w:rPr>
          <w:rFonts w:ascii="Times New Roman" w:hAnsi="Times New Roman" w:cs="Times New Roman"/>
          <w:sz w:val="28"/>
          <w:szCs w:val="28"/>
        </w:rPr>
        <w:t>, в том числе касающиеся случаев и сроков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сведений о доходах.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6A2" w:rsidRPr="00F936A2" w:rsidRDefault="00F936A2" w:rsidP="00F936A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6A2">
        <w:rPr>
          <w:rFonts w:ascii="Times New Roman" w:hAnsi="Times New Roman" w:cs="Times New Roman"/>
          <w:sz w:val="28"/>
          <w:szCs w:val="28"/>
        </w:rPr>
        <w:t>4. Скорректированы подходы к отражению информации на титульном листе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 xml:space="preserve">справки о доходах, расходах, об имуществе </w:t>
      </w:r>
      <w:r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</w:t>
      </w:r>
      <w:r w:rsidRPr="00F936A2">
        <w:rPr>
          <w:rFonts w:ascii="Times New Roman" w:hAnsi="Times New Roman" w:cs="Times New Roman"/>
          <w:sz w:val="28"/>
          <w:szCs w:val="28"/>
        </w:rPr>
        <w:t>характера (далее – справка) – информация у</w:t>
      </w:r>
      <w:r>
        <w:rPr>
          <w:rFonts w:ascii="Times New Roman" w:hAnsi="Times New Roman" w:cs="Times New Roman"/>
          <w:sz w:val="28"/>
          <w:szCs w:val="28"/>
        </w:rPr>
        <w:t xml:space="preserve">казывается по состоянию на дату </w:t>
      </w:r>
      <w:r w:rsidRPr="00F936A2">
        <w:rPr>
          <w:rFonts w:ascii="Times New Roman" w:hAnsi="Times New Roman" w:cs="Times New Roman"/>
          <w:sz w:val="28"/>
          <w:szCs w:val="28"/>
        </w:rPr>
        <w:t>подписания справки. Аналогично изменен по</w:t>
      </w:r>
      <w:r>
        <w:rPr>
          <w:rFonts w:ascii="Times New Roman" w:hAnsi="Times New Roman" w:cs="Times New Roman"/>
          <w:sz w:val="28"/>
          <w:szCs w:val="28"/>
        </w:rPr>
        <w:t>дход к заполнению строки «Доход по основному месту работы»</w:t>
      </w:r>
      <w:r w:rsidRPr="00F936A2">
        <w:rPr>
          <w:rFonts w:ascii="Times New Roman" w:hAnsi="Times New Roman" w:cs="Times New Roman"/>
          <w:sz w:val="28"/>
          <w:szCs w:val="28"/>
        </w:rPr>
        <w:t xml:space="preserve"> раздела 1 справки.</w:t>
      </w:r>
    </w:p>
    <w:p w:rsidR="00F936A2" w:rsidRPr="00F936A2" w:rsidRDefault="00F936A2" w:rsidP="00F936A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6A2">
        <w:rPr>
          <w:rFonts w:ascii="Times New Roman" w:hAnsi="Times New Roman" w:cs="Times New Roman"/>
          <w:sz w:val="28"/>
          <w:szCs w:val="28"/>
        </w:rPr>
        <w:t>5. Изменены подходы к расчету общего дохода служащего (работника),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его супруги (супруга) и несовершеннолетних детей.</w:t>
      </w:r>
    </w:p>
    <w:p w:rsidR="00F936A2" w:rsidRPr="00F936A2" w:rsidRDefault="00F936A2" w:rsidP="00F936A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6A2">
        <w:rPr>
          <w:rFonts w:ascii="Times New Roman" w:hAnsi="Times New Roman" w:cs="Times New Roman"/>
          <w:sz w:val="28"/>
          <w:szCs w:val="28"/>
        </w:rPr>
        <w:t>6. Отмечено, что сведения о расходах представляются в случае,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совершена сделка (сделки) по приобретению соответствующего имущества и сумма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такой сделки (сделок) превышает применимый трехгодовой доход (вне 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от фактически уплаченной суммы).</w:t>
      </w:r>
    </w:p>
    <w:p w:rsidR="00F936A2" w:rsidRPr="00F936A2" w:rsidRDefault="00F936A2" w:rsidP="00F936A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6A2">
        <w:rPr>
          <w:rFonts w:ascii="Times New Roman" w:hAnsi="Times New Roman" w:cs="Times New Roman"/>
          <w:sz w:val="28"/>
          <w:szCs w:val="28"/>
        </w:rPr>
        <w:lastRenderedPageBreak/>
        <w:t>7. Подчеркнуто, что в разделе 3 справки подлежит отражению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соответствующее имущество, полученное в порядке наследования (принято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наследство и имеется свидет</w:t>
      </w:r>
      <w:r>
        <w:rPr>
          <w:rFonts w:ascii="Times New Roman" w:hAnsi="Times New Roman" w:cs="Times New Roman"/>
          <w:sz w:val="28"/>
          <w:szCs w:val="28"/>
        </w:rPr>
        <w:t>ельство о праве на наследство).</w:t>
      </w:r>
    </w:p>
    <w:p w:rsidR="00F936A2" w:rsidRPr="00F936A2" w:rsidRDefault="00F936A2" w:rsidP="00F936A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6A2">
        <w:rPr>
          <w:rFonts w:ascii="Times New Roman" w:hAnsi="Times New Roman" w:cs="Times New Roman"/>
          <w:sz w:val="28"/>
          <w:szCs w:val="28"/>
        </w:rPr>
        <w:t>8. Указано, что в разделе 4 справки отражению подлежат расчетные счета,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открываемые индивидуальным предпринимателям или физическим лицам,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занимающимся в установленном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частной практикой.</w:t>
      </w:r>
    </w:p>
    <w:p w:rsidR="00F936A2" w:rsidRPr="00F936A2" w:rsidRDefault="00F936A2" w:rsidP="00F936A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6A2">
        <w:rPr>
          <w:rFonts w:ascii="Times New Roman" w:hAnsi="Times New Roman" w:cs="Times New Roman"/>
          <w:sz w:val="28"/>
          <w:szCs w:val="28"/>
        </w:rPr>
        <w:t>9. Уточнены отдельные аспекты отражения в разделе 5 справки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инвестиционных паев открытых паевых инвестиционных фондов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инвестиционных паев закрытых паевых инвестиционных фондов, предназначенных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для квалифицированных инвесторов, которые приобретаются в рамках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долевого страхования жизни, а также ценных бум</w:t>
      </w:r>
      <w:r>
        <w:rPr>
          <w:rFonts w:ascii="Times New Roman" w:hAnsi="Times New Roman" w:cs="Times New Roman"/>
          <w:sz w:val="28"/>
          <w:szCs w:val="28"/>
        </w:rPr>
        <w:t xml:space="preserve">аг, переданных на депонирование </w:t>
      </w:r>
      <w:r w:rsidRPr="00F936A2">
        <w:rPr>
          <w:rFonts w:ascii="Times New Roman" w:hAnsi="Times New Roman" w:cs="Times New Roman"/>
          <w:sz w:val="28"/>
          <w:szCs w:val="28"/>
        </w:rPr>
        <w:t>эскроу-агенту.</w:t>
      </w:r>
    </w:p>
    <w:p w:rsidR="00BC5073" w:rsidRPr="00F936A2" w:rsidRDefault="00F936A2" w:rsidP="00F936A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6A2">
        <w:rPr>
          <w:rFonts w:ascii="Times New Roman" w:hAnsi="Times New Roman" w:cs="Times New Roman"/>
          <w:sz w:val="28"/>
          <w:szCs w:val="28"/>
        </w:rPr>
        <w:t>10. Отражены подходы к указанию в подразделе 6.2 раздела 6 справки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6A2">
        <w:rPr>
          <w:rFonts w:ascii="Times New Roman" w:hAnsi="Times New Roman" w:cs="Times New Roman"/>
          <w:sz w:val="28"/>
          <w:szCs w:val="28"/>
        </w:rPr>
        <w:t>обязательств, возникающих исходя из условий договора долевого страхования жизни.</w:t>
      </w:r>
    </w:p>
    <w:sectPr w:rsidR="00BC5073" w:rsidRPr="00F936A2" w:rsidSect="00F936A2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A2"/>
    <w:rsid w:val="0040109A"/>
    <w:rsid w:val="006854E6"/>
    <w:rsid w:val="006E73C0"/>
    <w:rsid w:val="008C2C66"/>
    <w:rsid w:val="00BC5073"/>
    <w:rsid w:val="00C512F7"/>
    <w:rsid w:val="00F936A2"/>
    <w:rsid w:val="00FB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7FE2"/>
  <w15:chartTrackingRefBased/>
  <w15:docId w15:val="{D82E7152-603D-45D3-A41C-AE18045D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C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ravki_bk@mintrud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инспектор - Семья А.А.</dc:creator>
  <cp:keywords/>
  <dc:description/>
  <cp:lastModifiedBy>Старший инспектор - Семья А.А.</cp:lastModifiedBy>
  <cp:revision>3</cp:revision>
  <dcterms:created xsi:type="dcterms:W3CDTF">2026-04-02T11:33:00Z</dcterms:created>
  <dcterms:modified xsi:type="dcterms:W3CDTF">2026-04-02T11:42:00Z</dcterms:modified>
</cp:coreProperties>
</file>